
<file path=[Content_Types].xml><?xml version="1.0" encoding="utf-8"?>
<Types xmlns="http://schemas.openxmlformats.org/package/2006/content-types"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24C" w:rsidRPr="00994D31" w:rsidRDefault="00994D31" w:rsidP="00994D31">
      <w:pPr>
        <w:pStyle w:val="Nagwek2"/>
        <w:spacing w:before="240" w:after="240" w:line="360" w:lineRule="auto"/>
        <w:jc w:val="center"/>
        <w:rPr>
          <w:rFonts w:ascii="Arial" w:hAnsi="Arial" w:cs="Arial"/>
          <w:b/>
          <w:bCs/>
          <w:smallCaps/>
          <w:color w:val="auto"/>
          <w:sz w:val="28"/>
          <w:szCs w:val="28"/>
        </w:rPr>
      </w:pPr>
      <w:r>
        <w:rPr>
          <w:rFonts w:ascii="Arial" w:hAnsi="Arial" w:cs="Arial"/>
          <w:b/>
          <w:bCs/>
          <w:smallCaps/>
          <w:color w:val="auto"/>
          <w:sz w:val="28"/>
          <w:szCs w:val="28"/>
        </w:rPr>
        <w:t>Założenia do regulaminu naboru inicjatyw społecznych</w:t>
      </w:r>
    </w:p>
    <w:p w:rsidR="0099724C" w:rsidRPr="00994D31" w:rsidRDefault="00994D31" w:rsidP="003F46C0">
      <w:pPr>
        <w:pStyle w:val="Nagwek2"/>
        <w:spacing w:before="12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bookmarkStart w:id="0" w:name="_GoBack"/>
      <w:r>
        <w:rPr>
          <w:rFonts w:ascii="Arial" w:hAnsi="Arial" w:cs="Arial"/>
          <w:b/>
          <w:bCs/>
          <w:smallCaps/>
          <w:color w:val="auto"/>
          <w:sz w:val="24"/>
          <w:szCs w:val="22"/>
        </w:rPr>
        <w:t>1. Cel naboru</w:t>
      </w:r>
    </w:p>
    <w:bookmarkEnd w:id="0"/>
    <w:p w:rsidR="0099724C" w:rsidRPr="00994D31" w:rsidRDefault="00994D31" w:rsidP="00994D3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Nabór ma służyć wspieraniu oddolnych inicjatyw mieszkańców, aktywizacji społecznej i obywatelskiej, integracji sąsiedzkiej i międzypokoleniowej oraz wzmacnianiu lokalnych liderów i ich odpowiedzialności za wspólne otoczenie.</w:t>
      </w:r>
    </w:p>
    <w:p w:rsidR="0099724C" w:rsidRPr="00994D31" w:rsidRDefault="00994D31" w:rsidP="003F46C0">
      <w:pPr>
        <w:pStyle w:val="Nagwek2"/>
        <w:spacing w:before="12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>
        <w:rPr>
          <w:rFonts w:ascii="Arial" w:hAnsi="Arial" w:cs="Arial"/>
          <w:b/>
          <w:bCs/>
          <w:smallCaps/>
          <w:color w:val="auto"/>
          <w:sz w:val="24"/>
          <w:szCs w:val="22"/>
        </w:rPr>
        <w:t>2. Liczba i wartość inicjatyw</w:t>
      </w:r>
    </w:p>
    <w:p w:rsidR="0099724C" w:rsidRPr="00994D31" w:rsidRDefault="00994D31" w:rsidP="00994D3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planuje się wyłonienie i realizację łącznie 30 inicjatyw społecznych (w tym mogących mieć charakter cykliczny), zgodnie z OPZ;</w:t>
      </w:r>
    </w:p>
    <w:p w:rsidR="00994D31" w:rsidRPr="00994D31" w:rsidRDefault="00994D31" w:rsidP="005714D5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maksymalna wartość wsparcia realizacyjnego jednej inicjatywy (Część I zamówienia): do 2.000,00 zł brutto, obejmująca wyłącznie koszty bezpośrednio przypisane do danej inicjatywy (towary, materiały, wyposażenie i usługi ujęte w jej zatwierdzonym kosztorysie); przy 30 inicjatywach łączna maksymalna pula tej części wynosi 60.000,00 zł brutto. Koszty świadczeń Części II (m.in. szkoleń, doradztwa, mentoringu/tutoringu, konsultacji, cateringu, wydarzenia podsumowującego i rekrutacji) nie są wliczane do tego limitu, nawet jeżeli merytorycznie dotyczą danej inicjatywy;</w:t>
      </w:r>
    </w:p>
    <w:p w:rsidR="0099724C" w:rsidRPr="00994D31" w:rsidRDefault="00994D31" w:rsidP="00994D3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zgłaszający może zadeklarować dodatkowy wkład własny (rzeczowy, osobowy lub finansowy); wydatki poniesione dobrowolnie nie podlegają zwrotowi.</w:t>
      </w:r>
    </w:p>
    <w:p w:rsidR="0099724C" w:rsidRPr="00994D31" w:rsidRDefault="00994D31" w:rsidP="003F46C0">
      <w:pPr>
        <w:pStyle w:val="Nagwek2"/>
        <w:spacing w:before="12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>
        <w:rPr>
          <w:rFonts w:ascii="Arial" w:hAnsi="Arial" w:cs="Arial"/>
          <w:b/>
          <w:bCs/>
          <w:smallCaps/>
          <w:color w:val="auto"/>
          <w:sz w:val="24"/>
          <w:szCs w:val="22"/>
        </w:rPr>
        <w:t>3. Model realizacji</w:t>
      </w:r>
    </w:p>
    <w:p w:rsidR="000B60AB" w:rsidRPr="00994D31" w:rsidRDefault="000B60AB" w:rsidP="000B60AB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nabór nie jest konkursem grantowym ani mikrodotacyjnym – zgłaszający nie otrzymuje środków pieniężnych, zaliczki ani refundacji;</w:t>
      </w:r>
    </w:p>
    <w:p w:rsidR="000B60AB" w:rsidRPr="00994D31" w:rsidRDefault="000B60AB" w:rsidP="000B60AB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wszystkie zakupy, zamówienia, umowy i płatności realizuje wykonawca; dokumenty księgowe wystawiane są na wykonawcę;</w:t>
      </w:r>
    </w:p>
    <w:p w:rsidR="000B60AB" w:rsidRPr="000B60AB" w:rsidRDefault="000B60AB" w:rsidP="000B60AB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materiały i wyposażenie zakupione na potrzeby inicjatyw, które po zakończeniu projektu nie zostały zużyte i pozostają w stanie umożliwiającym dalsze wykorzystanie, są przekazywane Towarzystwu Gimnastycznemu „Sokół” w Zakopanem (TG Sokół), jako partnerowi projektu, na podstawie protokołu zdawczo-odbiorczego lub innego dokumentu zaakceptowanego przez Zamawiającego;</w:t>
      </w:r>
    </w:p>
    <w:p w:rsidR="000B60AB" w:rsidRPr="000B60AB" w:rsidRDefault="000B60AB" w:rsidP="000B60AB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katalog możliwych zakupów ma charakter otwarty; o kwalifikowalności danego zakupu decyduje jego bezpośredni związek z zaakceptowaną inicjatywą, racjonalność i niezbędność do jej realizacji oraz zatwierdzenie przez Zamawiającego;</w:t>
      </w:r>
    </w:p>
    <w:p w:rsidR="000B60AB" w:rsidRPr="000B60AB" w:rsidRDefault="000B60AB" w:rsidP="000B60AB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ramach kosztów bezpośredniej realizacji inicjatywy dopuszcza się zakup materiałów i wyposażenia niezbędnych do jej przeprowadzenia, w tym w szczególności artykułów biurowych i papierniczych, materiałów plastycznych, edukacyjnych, warsztatowych, </w:t>
      </w:r>
      <w:r>
        <w:rPr>
          <w:rFonts w:ascii="Arial" w:hAnsi="Arial" w:cs="Arial"/>
          <w:sz w:val="22"/>
          <w:szCs w:val="22"/>
        </w:rPr>
        <w:lastRenderedPageBreak/>
        <w:t>eksploatacyjnych i promocyjnych, drobnego wyposażenia oraz innych materiałów, produktów lub rzeczy uzasadnionych charakterem inicjatywy i zaakceptowanych w jej kosztorysie;</w:t>
      </w:r>
    </w:p>
    <w:p w:rsidR="000A0C00" w:rsidRPr="003F46C0" w:rsidRDefault="000B60AB" w:rsidP="00794938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mallCaps/>
          <w:sz w:val="24"/>
          <w:szCs w:val="22"/>
        </w:rPr>
      </w:pPr>
      <w:r w:rsidRPr="003F46C0">
        <w:rPr>
          <w:rFonts w:ascii="Arial" w:hAnsi="Arial" w:cs="Arial"/>
          <w:sz w:val="22"/>
          <w:szCs w:val="22"/>
        </w:rPr>
        <w:t>realizacja inicjatywy jest możliwa dopiero po jej wyborze, zatwierdzeniu zakresu rzeczowego i kosztorysu oraz podpisaniu porozumienia z liderem inicjatywy.</w:t>
      </w:r>
    </w:p>
    <w:p w:rsidR="0099724C" w:rsidRPr="00994D31" w:rsidRDefault="00994D31" w:rsidP="003F46C0">
      <w:pPr>
        <w:pStyle w:val="Nagwek2"/>
        <w:spacing w:before="12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>
        <w:rPr>
          <w:rFonts w:ascii="Arial" w:hAnsi="Arial" w:cs="Arial"/>
          <w:b/>
          <w:bCs/>
          <w:smallCaps/>
          <w:color w:val="auto"/>
          <w:sz w:val="24"/>
          <w:szCs w:val="22"/>
        </w:rPr>
        <w:t>4. Uprawnieni do zgłaszania</w:t>
      </w:r>
    </w:p>
    <w:p w:rsidR="0099724C" w:rsidRPr="00994D31" w:rsidRDefault="00994D31" w:rsidP="00994D3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Inicjatywy mogą zgłaszać: pełnoletni mieszkańcy, grupy nieformalne, lokalni liderzy i społecznicy, seniorzy, organizacje pozarządowe, koła gospodyń/kluby/stowarzyszenia oraz szkoły i instytucje lokalne (w zakresie dopuszczonym regulaminem); młodzież – wyłącznie za pośrednictwem pełnoletniego opiekuna. </w:t>
      </w:r>
      <w:r>
        <w:rPr>
          <w:rFonts w:ascii="Arial" w:hAnsi="Arial" w:cs="Arial"/>
          <w:b/>
          <w:bCs/>
          <w:sz w:val="22"/>
          <w:szCs w:val="22"/>
        </w:rPr>
        <w:t>Każde zgłoszenie musi wskazywać jednego pełnoletniego lidera</w:t>
      </w:r>
      <w:r>
        <w:rPr>
          <w:rFonts w:ascii="Arial" w:hAnsi="Arial" w:cs="Arial"/>
          <w:sz w:val="22"/>
          <w:szCs w:val="22"/>
        </w:rPr>
        <w:t xml:space="preserve"> odpowiedzialnego za kontakt z wykonawcą.</w:t>
      </w:r>
    </w:p>
    <w:p w:rsidR="0099724C" w:rsidRPr="00994D31" w:rsidRDefault="00994D31" w:rsidP="003F46C0">
      <w:pPr>
        <w:pStyle w:val="Nagwek2"/>
        <w:spacing w:before="12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>
        <w:rPr>
          <w:rFonts w:ascii="Arial" w:hAnsi="Arial" w:cs="Arial"/>
          <w:b/>
          <w:bCs/>
          <w:smallCaps/>
          <w:color w:val="auto"/>
          <w:sz w:val="24"/>
          <w:szCs w:val="22"/>
        </w:rPr>
        <w:t>5. Zakres dopuszczalnych inicjatyw</w:t>
      </w:r>
    </w:p>
    <w:p w:rsidR="0099724C" w:rsidRPr="00994D31" w:rsidRDefault="00994D31" w:rsidP="00994D3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Inicjatywy powinny odpowiadać na potrzeby mieszkańców, mieć charakter społeczny, edukacyjny, integracyjny, kulturalny, ekologiczny, sportowy lub obywatelski, nie mieć charakteru komercyjnego oraz być możliwe do zrealizowania w ustalonym terminie i budżecie, przy zaangażowaniu mieszkańców w ich przygotowanie lub przeprowadzenie.</w:t>
      </w:r>
    </w:p>
    <w:p w:rsidR="0099724C" w:rsidRPr="00994D31" w:rsidRDefault="00994D31" w:rsidP="00994D3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Przykłady: warsztaty tematyczne (pierwsza pomoc, rękodzieło, ekologia, obsługa smartfona), lokalne wydarzenia integracyjne (turnieje, gry terenowe, spotkania sąsiedzkie), działania na rzecz otoczenia (sadzenie zieleni, łąka kwietna) oraz spacery i wydarzenia edukacyjno-kulturalne.</w:t>
      </w:r>
    </w:p>
    <w:p w:rsidR="0099724C" w:rsidRPr="00994D31" w:rsidRDefault="00994D31" w:rsidP="003F46C0">
      <w:pPr>
        <w:pStyle w:val="Nagwek2"/>
        <w:spacing w:before="12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>
        <w:rPr>
          <w:rFonts w:ascii="Arial" w:hAnsi="Arial" w:cs="Arial"/>
          <w:b/>
          <w:bCs/>
          <w:smallCaps/>
          <w:color w:val="auto"/>
          <w:sz w:val="24"/>
          <w:szCs w:val="22"/>
        </w:rPr>
        <w:t>6. Zgłoszenie inicjatywy</w:t>
      </w:r>
    </w:p>
    <w:p w:rsidR="0099724C" w:rsidRPr="00994D31" w:rsidRDefault="000B60AB" w:rsidP="00994D3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Formularz zgłoszeniowy obejmuje w szczególności: dane lidera i kontakt, opis potrzeby i planowanego działania, wskazanie odbiorców i przewidywanej liczby uczestników, miejsce i termin realizacji, wykaz potrzebnych materiałów, produktów, wyposażenia i usług (wraz z uzasadnieniem ich niezbędności dla realizacji inicjatywy), informację o ewentualnym wkładzie własnym oraz oświadczenie o przyjęciu modelu realizacji bez przekazywania środków pieniężnych zgłaszającemu.</w:t>
      </w:r>
    </w:p>
    <w:p w:rsidR="0099724C" w:rsidRPr="00994D31" w:rsidRDefault="00994D31" w:rsidP="003F46C0">
      <w:pPr>
        <w:pStyle w:val="Nagwek2"/>
        <w:spacing w:before="12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>
        <w:rPr>
          <w:rFonts w:ascii="Arial" w:hAnsi="Arial" w:cs="Arial"/>
          <w:b/>
          <w:bCs/>
          <w:smallCaps/>
          <w:color w:val="auto"/>
          <w:sz w:val="24"/>
          <w:szCs w:val="22"/>
        </w:rPr>
        <w:t>7. Ocena inicjatyw</w:t>
      </w:r>
    </w:p>
    <w:p w:rsidR="0099724C" w:rsidRPr="00994D31" w:rsidRDefault="00994D31" w:rsidP="00994D3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Ocena formalna</w:t>
      </w:r>
      <w:r>
        <w:rPr>
          <w:rFonts w:ascii="Arial" w:hAnsi="Arial" w:cs="Arial"/>
          <w:sz w:val="22"/>
          <w:szCs w:val="22"/>
        </w:rPr>
        <w:t xml:space="preserve"> sprawdza: terminowość i kompletność zgłoszenia, uprawnienie zgłaszającego i wskazanie lidera, zgodność z celem naboru i limitem wsparcia realizacyjnego do 2.000,00 zł brutto na inicjatywę oraz brak celu komercyjnego lub podwójnego finansowania.</w:t>
      </w:r>
    </w:p>
    <w:p w:rsidR="000A0C00" w:rsidRDefault="00994D31" w:rsidP="003F46C0">
      <w:pPr>
        <w:spacing w:line="360" w:lineRule="auto"/>
        <w:rPr>
          <w:rFonts w:ascii="Arial" w:hAnsi="Arial" w:cs="Arial"/>
          <w:b/>
          <w:bCs/>
          <w:smallCaps/>
          <w:sz w:val="24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Ocena merytoryczna</w:t>
      </w:r>
      <w:r>
        <w:rPr>
          <w:rFonts w:ascii="Arial" w:hAnsi="Arial" w:cs="Arial"/>
          <w:sz w:val="22"/>
          <w:szCs w:val="22"/>
        </w:rPr>
        <w:t xml:space="preserve"> – maksymalnie 20 punktów wg pięciu kryteriów (0–4 pkt każde): zgodność z celem Inkubatora, korzyść dla mieszkańców i integracja społeczna, realność wykonania w terminie i budżecie, prostota organizacyjna/legalność/bezpieczeństwo oraz zaangażowanie lidera i mieszkańców. </w:t>
      </w:r>
      <w:r>
        <w:rPr>
          <w:rFonts w:ascii="Arial" w:hAnsi="Arial" w:cs="Arial"/>
          <w:b/>
          <w:bCs/>
          <w:sz w:val="22"/>
          <w:szCs w:val="22"/>
        </w:rPr>
        <w:t>Minimalny próg rekomendacji: 12 punktów</w:t>
      </w:r>
      <w:r>
        <w:rPr>
          <w:rFonts w:ascii="Arial" w:hAnsi="Arial" w:cs="Arial"/>
          <w:sz w:val="22"/>
          <w:szCs w:val="22"/>
        </w:rPr>
        <w:t>; inicjatywa nie może uzyskać 0 pkt w zakresie wykonalności lub legalności. Sporządzana jest lista rankingowa i lista rezerwowa, a ostatecznego zatwierdzenia inicjatyw dokonuje Zamawiający.</w:t>
      </w:r>
    </w:p>
    <w:p w:rsidR="0099724C" w:rsidRPr="00994D31" w:rsidRDefault="00994D31" w:rsidP="003F46C0">
      <w:pPr>
        <w:pStyle w:val="Nagwek2"/>
        <w:spacing w:before="12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>
        <w:rPr>
          <w:rFonts w:ascii="Arial" w:hAnsi="Arial" w:cs="Arial"/>
          <w:b/>
          <w:bCs/>
          <w:smallCaps/>
          <w:color w:val="auto"/>
          <w:sz w:val="24"/>
          <w:szCs w:val="22"/>
        </w:rPr>
        <w:lastRenderedPageBreak/>
        <w:t>8. Zadania wykonawcy</w:t>
      </w:r>
    </w:p>
    <w:p w:rsidR="0099724C" w:rsidRPr="00994D31" w:rsidRDefault="00994D31" w:rsidP="00994D3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organizacja naboru: przygotowanie regulaminu, formularzy i kart oceny, promocja, przyjmowanie zgłoszeń oraz ocena formalna i merytoryczna;</w:t>
      </w:r>
    </w:p>
    <w:p w:rsidR="000B60AB" w:rsidRPr="000B60AB" w:rsidRDefault="000B60AB" w:rsidP="00994D3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obsługa wybranych inicjatyw: weryfikacja kosztorysów, porozumienia z liderami, zakup materiałów, produktów i wyposażenia (w tym m.in. artykułów biurowych i papierniczych oraz innych rzeczy niezbędnych do realizacji inicjatywy), zakup usług, umowy z prowadzącymi, wynajem pomieszczeń/sprzętu, prowadzenie ewidencji zakupionych materiałów i wyposażenia oraz przekazanie po zakończeniu projektu do TG Sokół materiałów i wyposażenia, które nie zostały zużyte i nadają się do dalszego wykorzystania;</w:t>
      </w:r>
    </w:p>
    <w:p w:rsidR="0099724C" w:rsidRPr="00994D31" w:rsidRDefault="00994D31" w:rsidP="00994D3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promocja i dokumentacja: informowanie o wydarzeniach, prowadzenie profilu w mediach społecznościowych, dokumentacja fotograficzna, oznakowanie projektu oraz raport końcowy.</w:t>
      </w:r>
    </w:p>
    <w:p w:rsidR="0099724C" w:rsidRPr="00994D31" w:rsidRDefault="00994D31" w:rsidP="003F46C0">
      <w:pPr>
        <w:pStyle w:val="Nagwek2"/>
        <w:spacing w:before="12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>
        <w:rPr>
          <w:rFonts w:ascii="Arial" w:hAnsi="Arial" w:cs="Arial"/>
          <w:b/>
          <w:bCs/>
          <w:smallCaps/>
          <w:color w:val="auto"/>
          <w:sz w:val="24"/>
          <w:szCs w:val="22"/>
        </w:rPr>
        <w:t>9. Obowiązki lidera inicjatywy</w:t>
      </w:r>
    </w:p>
    <w:p w:rsidR="0099724C" w:rsidRPr="00994D31" w:rsidRDefault="00994D31" w:rsidP="00994D3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współpracuje przy przygotowaniu programu i harmonogramu oraz wspiera promocję i rekrutację uczestników;</w:t>
      </w:r>
    </w:p>
    <w:p w:rsidR="0099724C" w:rsidRPr="00994D31" w:rsidRDefault="00994D31" w:rsidP="00994D3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dokonuje samodzielnych zakupów ani nie zaciąga zobowiązań finansowych w imieniu wykonawcy lub Zamawiającego;</w:t>
      </w:r>
    </w:p>
    <w:p w:rsidR="0099724C" w:rsidRPr="00994D31" w:rsidRDefault="00994D31" w:rsidP="00994D3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potwierdza wykonanie inicjatywy i przekazuje informacje potrzebne do rozliczenia i podsumowania działania.</w:t>
      </w:r>
    </w:p>
    <w:p w:rsidR="0099724C" w:rsidRPr="00994D31" w:rsidRDefault="00994D31" w:rsidP="003F46C0">
      <w:pPr>
        <w:pStyle w:val="Nagwek2"/>
        <w:spacing w:before="12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>
        <w:rPr>
          <w:rFonts w:ascii="Arial" w:hAnsi="Arial" w:cs="Arial"/>
          <w:b/>
          <w:bCs/>
          <w:smallCaps/>
          <w:color w:val="auto"/>
          <w:sz w:val="24"/>
          <w:szCs w:val="22"/>
        </w:rPr>
        <w:t>10. Dokumentacja inicjatywy</w:t>
      </w:r>
    </w:p>
    <w:p w:rsidR="000B60AB" w:rsidRPr="00994D31" w:rsidRDefault="000B60AB" w:rsidP="000B60A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Dla każdej inicjatywy prowadzona jest dokumentacja obejmująca: formularz zgłoszeniowy i kartę oceny, zatwierdzony kosztorys i harmonogram, porozumienie z liderem, dokumenty zakupowe wystawione na wykonawcę, potwierdzenie udziału i dokumentację fotograficzną oraz protokół odbioru z krótkim opisem osiągniętych rezultatów, a w przypadku zakupu materiałów lub wyposażenia – również ich wykaz/ewidencję. Dokumentacja końcowa obejmuje także protokół lub protokoły przekazania do TG Sokół materiałów i wyposażenia pozostałych po zakończeniu projektu i nadających się do dalszego wykorzystania.</w:t>
      </w:r>
    </w:p>
    <w:p w:rsidR="0099724C" w:rsidRPr="00994D31" w:rsidRDefault="00994D31" w:rsidP="003F46C0">
      <w:pPr>
        <w:pStyle w:val="Nagwek2"/>
        <w:spacing w:before="12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>
        <w:rPr>
          <w:rFonts w:ascii="Arial" w:hAnsi="Arial" w:cs="Arial"/>
          <w:b/>
          <w:bCs/>
          <w:smallCaps/>
          <w:color w:val="auto"/>
          <w:sz w:val="24"/>
          <w:szCs w:val="22"/>
        </w:rPr>
        <w:t>11. Wyłączenia</w:t>
      </w:r>
    </w:p>
    <w:p w:rsidR="0099724C" w:rsidRPr="00994D31" w:rsidRDefault="00994D31" w:rsidP="00994D3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mogą być finansowane w szczególności: wypłaty pieniężne lub refundacje dla zgłaszających, działania komercyjne i nastawione na zysk, alkohol, kary i mandaty, nagrody pieniężne, wydatki poniesione przed zatwierdzeniem inicjatywy, roboty budowlane i inwestycje wymagające skomplikowanych pozwoleń, a także działania naruszające prawo, zasady równego traktowania lub bezpieczeństwo uczestników.</w:t>
      </w:r>
    </w:p>
    <w:sectPr w:rsidR="0099724C" w:rsidRPr="00994D31" w:rsidSect="000B60AB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E6D" w:rsidRDefault="00567E6D" w:rsidP="00B00913">
      <w:r>
        <w:separator/>
      </w:r>
    </w:p>
  </w:endnote>
  <w:endnote w:type="continuationSeparator" w:id="0">
    <w:p w:rsidR="00567E6D" w:rsidRDefault="00567E6D" w:rsidP="00B0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913" w:rsidRDefault="00B00913">
    <w:pPr>
      <w:pStyle w:val="Stopka"/>
    </w:pPr>
    <w:r>
      <w:rPr>
        <w:noProof/>
      </w:rPr>
      <w:drawing>
        <wp:inline distT="0" distB="0" distL="0" distR="0" wp14:anchorId="3F45DAAB" wp14:editId="75E2A657">
          <wp:extent cx="5760720" cy="567408"/>
          <wp:effectExtent l="0" t="0" r="0" b="4445"/>
          <wp:docPr id="16" name="Image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="" xmlns:w="http://schemas.openxmlformats.org/wordprocessingml/2006/main" xmlns:asvg="http://schemas.microsoft.com/office/drawing/2016/SVG/main" xmlns:w10="urn:schemas-microsoft-com:office:word" xmlns:v="urn:schemas-microsoft-com:vml" xmlns:o="urn:schemas-microsoft-com:office:office" r:embed="rId2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7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00913" w:rsidRDefault="00B009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E6D" w:rsidRDefault="00567E6D" w:rsidP="00B00913">
      <w:r>
        <w:separator/>
      </w:r>
    </w:p>
  </w:footnote>
  <w:footnote w:type="continuationSeparator" w:id="0">
    <w:p w:rsidR="00567E6D" w:rsidRDefault="00567E6D" w:rsidP="00B00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9229946"/>
      <w:docPartObj>
        <w:docPartGallery w:val="Page Numbers (Margins)"/>
        <w:docPartUnique/>
      </w:docPartObj>
    </w:sdtPr>
    <w:sdtEndPr/>
    <w:sdtContent>
      <w:p w:rsidR="00B00913" w:rsidRDefault="00B00913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leftMargin">
                    <wp:align>left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1800225</wp:posOffset>
                      </wp:positionV>
                    </mc:Fallback>
                  </mc:AlternateContent>
                  <wp:extent cx="819150" cy="433705"/>
                  <wp:effectExtent l="0" t="0" r="0" b="4445"/>
                  <wp:wrapNone/>
                  <wp:docPr id="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0913" w:rsidRDefault="00B00913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jc w:val="right"/>
                              </w:pPr>
                              <w:r>
                                <w:t xml:space="preserve">Strona | </w:t>
                              </w: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3F46C0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lef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margin-left:0;margin-top:0;width:64.5pt;height:34.15pt;z-index:251659264;visibility:visible;mso-wrap-style:square;mso-width-percent:900;mso-height-percent:0;mso-top-percent:100;mso-wrap-distance-left:9pt;mso-wrap-distance-top:0;mso-wrap-distance-right:9pt;mso-wrap-distance-bottom:0;mso-position-horizontal:left;mso-position-horizontal-relative:left-margin-area;mso-position-vertical-relative:margin;mso-width-percent:900;mso-height-percent:0;mso-top-percent:10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" o:allowincell="f" stroked="f">
                  <v:textbox style="mso-fit-shape-to-text:t" inset="0,,0">
                    <w:txbxContent>
                      <w:p w:rsidR="00B00913" w:rsidRDefault="00B00913">
                        <w:pPr>
                          <w:pBdr>
                            <w:top w:val="single" w:sz="4" w:space="1" w:color="D8D8D8" w:themeColor="background1" w:themeShade="D8"/>
                          </w:pBdr>
                          <w:jc w:val="right"/>
                        </w:pPr>
                        <w:r>
                          <w:t xml:space="preserve">Strona | </w:t>
                        </w: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3F46C0">
                          <w:rPr>
                            <w:noProof/>
                          </w:rPr>
                          <w:t>3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D15A2"/>
    <w:multiLevelType w:val="hybridMultilevel"/>
    <w:tmpl w:val="3DB836AE"/>
    <w:lvl w:ilvl="0" w:tplc="20525B3C">
      <w:start w:val="1"/>
      <w:numFmt w:val="bullet"/>
      <w:lvlText w:val="—"/>
      <w:lvlJc w:val="left"/>
      <w:pPr>
        <w:ind w:left="504" w:hanging="288"/>
      </w:pPr>
    </w:lvl>
    <w:lvl w:ilvl="1" w:tplc="949A3D2E">
      <w:numFmt w:val="decimal"/>
      <w:lvlText w:val=""/>
      <w:lvlJc w:val="left"/>
    </w:lvl>
    <w:lvl w:ilvl="2" w:tplc="A14A09AE">
      <w:numFmt w:val="decimal"/>
      <w:lvlText w:val=""/>
      <w:lvlJc w:val="left"/>
    </w:lvl>
    <w:lvl w:ilvl="3" w:tplc="B64651F4">
      <w:numFmt w:val="decimal"/>
      <w:lvlText w:val=""/>
      <w:lvlJc w:val="left"/>
    </w:lvl>
    <w:lvl w:ilvl="4" w:tplc="7778B3E8">
      <w:numFmt w:val="decimal"/>
      <w:lvlText w:val=""/>
      <w:lvlJc w:val="left"/>
    </w:lvl>
    <w:lvl w:ilvl="5" w:tplc="399437A8">
      <w:numFmt w:val="decimal"/>
      <w:lvlText w:val=""/>
      <w:lvlJc w:val="left"/>
    </w:lvl>
    <w:lvl w:ilvl="6" w:tplc="A7D890AA">
      <w:numFmt w:val="decimal"/>
      <w:lvlText w:val=""/>
      <w:lvlJc w:val="left"/>
    </w:lvl>
    <w:lvl w:ilvl="7" w:tplc="44BA2834">
      <w:numFmt w:val="decimal"/>
      <w:lvlText w:val=""/>
      <w:lvlJc w:val="left"/>
    </w:lvl>
    <w:lvl w:ilvl="8" w:tplc="AC7A48C4">
      <w:numFmt w:val="decimal"/>
      <w:lvlText w:val=""/>
      <w:lvlJc w:val="left"/>
    </w:lvl>
  </w:abstractNum>
  <w:abstractNum w:abstractNumId="1" w15:restartNumberingAfterBreak="0">
    <w:nsid w:val="5AF82842"/>
    <w:multiLevelType w:val="hybridMultilevel"/>
    <w:tmpl w:val="4A2E1F0A"/>
    <w:lvl w:ilvl="0" w:tplc="38A2F89C">
      <w:start w:val="1"/>
      <w:numFmt w:val="bullet"/>
      <w:lvlText w:val="●"/>
      <w:lvlJc w:val="left"/>
      <w:pPr>
        <w:ind w:left="720" w:hanging="360"/>
      </w:pPr>
    </w:lvl>
    <w:lvl w:ilvl="1" w:tplc="4026502C">
      <w:start w:val="1"/>
      <w:numFmt w:val="bullet"/>
      <w:lvlText w:val="○"/>
      <w:lvlJc w:val="left"/>
      <w:pPr>
        <w:ind w:left="1440" w:hanging="360"/>
      </w:pPr>
    </w:lvl>
    <w:lvl w:ilvl="2" w:tplc="3544FDDC">
      <w:start w:val="1"/>
      <w:numFmt w:val="bullet"/>
      <w:lvlText w:val="■"/>
      <w:lvlJc w:val="left"/>
      <w:pPr>
        <w:ind w:left="2160" w:hanging="360"/>
      </w:pPr>
    </w:lvl>
    <w:lvl w:ilvl="3" w:tplc="70CCB21E">
      <w:start w:val="1"/>
      <w:numFmt w:val="bullet"/>
      <w:lvlText w:val="●"/>
      <w:lvlJc w:val="left"/>
      <w:pPr>
        <w:ind w:left="2880" w:hanging="360"/>
      </w:pPr>
    </w:lvl>
    <w:lvl w:ilvl="4" w:tplc="D3E0DA5C">
      <w:start w:val="1"/>
      <w:numFmt w:val="bullet"/>
      <w:lvlText w:val="○"/>
      <w:lvlJc w:val="left"/>
      <w:pPr>
        <w:ind w:left="3600" w:hanging="360"/>
      </w:pPr>
    </w:lvl>
    <w:lvl w:ilvl="5" w:tplc="9E885510">
      <w:start w:val="1"/>
      <w:numFmt w:val="bullet"/>
      <w:lvlText w:val="■"/>
      <w:lvlJc w:val="left"/>
      <w:pPr>
        <w:ind w:left="4320" w:hanging="360"/>
      </w:pPr>
    </w:lvl>
    <w:lvl w:ilvl="6" w:tplc="B30A162A">
      <w:start w:val="1"/>
      <w:numFmt w:val="bullet"/>
      <w:lvlText w:val="●"/>
      <w:lvlJc w:val="left"/>
      <w:pPr>
        <w:ind w:left="5040" w:hanging="360"/>
      </w:pPr>
    </w:lvl>
    <w:lvl w:ilvl="7" w:tplc="A80EA248">
      <w:start w:val="1"/>
      <w:numFmt w:val="bullet"/>
      <w:lvlText w:val="●"/>
      <w:lvlJc w:val="left"/>
      <w:pPr>
        <w:ind w:left="5760" w:hanging="360"/>
      </w:pPr>
    </w:lvl>
    <w:lvl w:ilvl="8" w:tplc="5426C09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24C"/>
    <w:rsid w:val="000A0C00"/>
    <w:rsid w:val="000B60AB"/>
    <w:rsid w:val="00133D83"/>
    <w:rsid w:val="002B1611"/>
    <w:rsid w:val="00391639"/>
    <w:rsid w:val="003F46C0"/>
    <w:rsid w:val="004D7C3D"/>
    <w:rsid w:val="00567E6D"/>
    <w:rsid w:val="005A0F90"/>
    <w:rsid w:val="00994D31"/>
    <w:rsid w:val="0099724C"/>
    <w:rsid w:val="00B00913"/>
    <w:rsid w:val="00C24459"/>
    <w:rsid w:val="00FC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BBE4D7-526D-4985-87D9-000E20A9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009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00913"/>
  </w:style>
  <w:style w:type="paragraph" w:styleId="Stopka">
    <w:name w:val="footer"/>
    <w:basedOn w:val="Normalny"/>
    <w:link w:val="StopkaZnak"/>
    <w:uiPriority w:val="99"/>
    <w:unhideWhenUsed/>
    <w:rsid w:val="00B009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0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1" Type="http://schemas.openxmlformats.org/officeDocument/2006/relationships/image" Target="media/image20.sv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1025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Fujitsu</cp:lastModifiedBy>
  <cp:revision>4</cp:revision>
  <dcterms:created xsi:type="dcterms:W3CDTF">2026-09-18T09:05:00Z</dcterms:created>
  <dcterms:modified xsi:type="dcterms:W3CDTF">2026-09-18T09:06:00Z</dcterms:modified>
</cp:coreProperties>
</file>